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FE811D" w14:textId="77777777" w:rsidR="00A64D8B" w:rsidRDefault="00000000">
      <w:pPr>
        <w:keepNext/>
        <w:pBdr>
          <w:bottom w:val="single" w:sz="6" w:space="5" w:color="D7DDD1"/>
        </w:pBdr>
        <w:tabs>
          <w:tab w:val="right" w:pos="10091"/>
        </w:tabs>
        <w:spacing w:after="140"/>
      </w:pPr>
      <w:hyperlink r:id="rId8" w:history="1">
        <w:r>
          <w:rPr>
            <w:noProof/>
            <w:lang w:val="en-GB" w:eastAsia="en-GB" w:bidi="en-GB"/>
          </w:rPr>
          <w:drawing>
            <wp:inline distT="0" distB="0" distL="0" distR="0" wp14:anchorId="289EF211" wp14:editId="74B94286">
              <wp:extent cx="182880" cy="182880"/>
              <wp:effectExtent l="0" t="0" r="0" b="0"/>
              <wp:docPr id="1" name="Picture 1" descr="Return to the Keystone Knowledge Hub" title="Return to the Keystone Knowledge Hub">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a:hlinkClick r:id="rId8"/>
                      </pic:cNvPr>
                      <pic:cNvPicPr/>
                    </pic:nvPicPr>
                    <pic:blipFill>
                      <a:blip r:embed="rId9"/>
                      <a:stretch>
                        <a:fillRect/>
                      </a:stretch>
                    </pic:blipFill>
                    <pic:spPr>
                      <a:xfrm>
                        <a:off x="0" y="0"/>
                        <a:ext cx="182880" cy="182880"/>
                      </a:xfrm>
                      <a:prstGeom prst="rect">
                        <a:avLst/>
                      </a:prstGeom>
                    </pic:spPr>
                  </pic:pic>
                </a:graphicData>
              </a:graphic>
            </wp:inline>
          </w:drawing>
        </w:r>
      </w:hyperlink>
      <w:r>
        <w:rPr>
          <w:rFonts w:eastAsia="Times New Roman"/>
          <w:sz w:val="20"/>
          <w:lang w:val="en-GB" w:eastAsia="en-GB" w:bidi="en-GB"/>
        </w:rPr>
        <w:t xml:space="preserve">  </w:t>
      </w:r>
      <w:hyperlink r:id="rId10" w:history="1">
        <w:r>
          <w:rPr>
            <w:b/>
            <w:color w:val="5B7046"/>
            <w:sz w:val="20"/>
            <w:szCs w:val="20"/>
            <w:lang w:val="en-GB" w:eastAsia="en-GB" w:bidi="en-GB"/>
          </w:rPr>
          <w:t>KNOWLEDGE HUB</w:t>
        </w:r>
      </w:hyperlink>
      <w:r>
        <w:rPr>
          <w:rFonts w:eastAsia="Times New Roman"/>
          <w:sz w:val="20"/>
          <w:lang w:val="en-GB" w:eastAsia="en-GB" w:bidi="en-GB"/>
        </w:rPr>
        <w:tab/>
      </w:r>
      <w:hyperlink r:id="rId11" w:history="1">
        <w:r>
          <w:rPr>
            <w:noProof/>
            <w:lang w:val="en-GB" w:eastAsia="en-GB" w:bidi="en-GB"/>
          </w:rPr>
          <w:drawing>
            <wp:inline distT="0" distB="0" distL="0" distR="0" wp14:anchorId="023A1268" wp14:editId="08E0DFB3">
              <wp:extent cx="585216" cy="585216"/>
              <wp:effectExtent l="0" t="0" r="0" b="0"/>
              <wp:docPr id="2" name="Picture 2" descr="Keystone Academic Consultants homepage" title="Keystone Academic Consultants homepag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a:hlinkClick r:id="rId11"/>
                      </pic:cNvPr>
                      <pic:cNvPicPr/>
                    </pic:nvPicPr>
                    <pic:blipFill>
                      <a:blip r:embed="rId12"/>
                      <a:stretch>
                        <a:fillRect/>
                      </a:stretch>
                    </pic:blipFill>
                    <pic:spPr>
                      <a:xfrm>
                        <a:off x="0" y="0"/>
                        <a:ext cx="585216" cy="585216"/>
                      </a:xfrm>
                      <a:prstGeom prst="rect">
                        <a:avLst/>
                      </a:prstGeom>
                    </pic:spPr>
                  </pic:pic>
                </a:graphicData>
              </a:graphic>
            </wp:inline>
          </w:drawing>
        </w:r>
      </w:hyperlink>
    </w:p>
    <w:p w14:paraId="16AC0F14" w14:textId="77777777" w:rsidR="00A64D8B" w:rsidRDefault="00000000">
      <w:pPr>
        <w:pStyle w:val="KnowledgeHubTitle"/>
      </w:pPr>
      <w:r>
        <w:rPr>
          <w:rFonts w:eastAsia="Times New Roman" w:cs="Times New Roman"/>
          <w:szCs w:val="48"/>
          <w:lang w:val="en-GB" w:eastAsia="en-GB" w:bidi="en-GB"/>
        </w:rPr>
        <w:t>Feed Up, Feedback and Feed Forward</w:t>
      </w:r>
    </w:p>
    <w:p w14:paraId="61CB2810" w14:textId="77777777" w:rsidR="00A64D8B" w:rsidRDefault="00000000">
      <w:pPr>
        <w:pStyle w:val="Category"/>
        <w:keepNext/>
      </w:pPr>
      <w:r>
        <w:rPr>
          <w:rFonts w:eastAsia="Times New Roman" w:cs="Times New Roman"/>
          <w:szCs w:val="24"/>
          <w:lang w:val="en-GB" w:eastAsia="en-GB" w:bidi="en-GB"/>
        </w:rPr>
        <w:t>Category: Assessment, Feedback and Learning</w:t>
      </w:r>
    </w:p>
    <w:p w14:paraId="49CCD7B0" w14:textId="77777777" w:rsidR="00A64D8B" w:rsidRDefault="00000000">
      <w:r>
        <w:rPr>
          <w:rFonts w:eastAsia="Times New Roman" w:cs="Times New Roman"/>
          <w:szCs w:val="24"/>
          <w:lang w:val="en-GB" w:eastAsia="en-GB" w:bidi="en-GB"/>
        </w:rPr>
        <w:t>Feed up, feedback and feed forward organise a feedback process around three questions. Feed up clarifies where the learner is going; feedback examines how current performance relates to that destination; feed forward identifies productive next action. Together they connect goals, evidence and improvement rather than treating comments as an endpoint.</w:t>
      </w:r>
    </w:p>
    <w:p w14:paraId="527B47AA" w14:textId="77777777" w:rsidR="00A64D8B" w:rsidRDefault="00000000">
      <w:r>
        <w:rPr>
          <w:rFonts w:eastAsia="Times New Roman" w:cs="Times New Roman"/>
          <w:szCs w:val="24"/>
          <w:lang w:val="en-GB" w:eastAsia="en-GB" w:bidi="en-GB"/>
        </w:rPr>
        <w:t xml:space="preserve">The questions are interdependent. Advice about improvement is difficult to use if the goal or standard is unclear, while a goal without evidence offers little guidance. The learner must also have an opportunity and sufficient support to act </w:t>
      </w:r>
      <w:hyperlink r:id="rId13" w:history="1">
        <w:r>
          <w:rPr>
            <w:rFonts w:eastAsia="Times New Roman" w:cs="Times New Roman"/>
            <w:color w:val="0557A8"/>
            <w:szCs w:val="24"/>
            <w:u w:val="single"/>
            <w:lang w:val="en-GB" w:eastAsia="en-GB" w:bidi="en-GB"/>
          </w:rPr>
          <w:t>(Hattie &amp; Timperley, 2007)</w:t>
        </w:r>
      </w:hyperlink>
      <w:r>
        <w:rPr>
          <w:rFonts w:eastAsia="Times New Roman" w:cs="Times New Roman"/>
          <w:szCs w:val="24"/>
          <w:lang w:val="en-GB" w:eastAsia="en-GB" w:bidi="en-GB"/>
        </w:rPr>
        <w:t>.</w:t>
      </w:r>
    </w:p>
    <w:p w14:paraId="5E791E98" w14:textId="77777777" w:rsidR="00A64D8B" w:rsidRDefault="00000000">
      <w:pPr>
        <w:pStyle w:val="Heading2"/>
      </w:pPr>
      <w:r>
        <w:rPr>
          <w:rFonts w:ascii="Times New Roman" w:eastAsia="Times New Roman" w:hAnsi="Times New Roman" w:cs="Times New Roman"/>
          <w:szCs w:val="32"/>
          <w:lang w:val="en-GB" w:eastAsia="en-GB" w:bidi="en-GB"/>
        </w:rPr>
        <w:t>Three Feedback Questions</w:t>
      </w:r>
    </w:p>
    <w:p w14:paraId="6797A540" w14:textId="77777777" w:rsidR="00A64D8B" w:rsidRDefault="00000000">
      <w:pPr>
        <w:pStyle w:val="CompactNumbered"/>
        <w:keepLines/>
        <w:numPr>
          <w:ilvl w:val="0"/>
          <w:numId w:val="1"/>
        </w:numPr>
      </w:pPr>
      <w:r>
        <w:rPr>
          <w:rFonts w:eastAsia="Times New Roman" w:cs="Times New Roman"/>
          <w:b/>
          <w:szCs w:val="24"/>
          <w:lang w:val="en-GB" w:eastAsia="en-GB" w:bidi="en-GB"/>
        </w:rPr>
        <w:t xml:space="preserve">Feed up: </w:t>
      </w:r>
      <w:r>
        <w:rPr>
          <w:rFonts w:eastAsia="Times New Roman" w:cs="Times New Roman"/>
          <w:szCs w:val="24"/>
          <w:lang w:val="en-GB" w:eastAsia="en-GB" w:bidi="en-GB"/>
        </w:rPr>
        <w:t>Clarify the learning intention, success criteria and qualities of the desired performance.</w:t>
      </w:r>
    </w:p>
    <w:p w14:paraId="3FAB8801" w14:textId="77777777" w:rsidR="00A64D8B" w:rsidRDefault="00000000">
      <w:pPr>
        <w:pStyle w:val="CompactNumbered"/>
        <w:keepLines/>
        <w:numPr>
          <w:ilvl w:val="0"/>
          <w:numId w:val="1"/>
        </w:numPr>
      </w:pPr>
      <w:r>
        <w:rPr>
          <w:rFonts w:eastAsia="Times New Roman" w:cs="Times New Roman"/>
          <w:b/>
          <w:szCs w:val="24"/>
          <w:lang w:val="en-GB" w:eastAsia="en-GB" w:bidi="en-GB"/>
        </w:rPr>
        <w:t xml:space="preserve">Feedback: </w:t>
      </w:r>
      <w:r>
        <w:rPr>
          <w:rFonts w:eastAsia="Times New Roman" w:cs="Times New Roman"/>
          <w:szCs w:val="24"/>
          <w:lang w:val="en-GB" w:eastAsia="en-GB" w:bidi="en-GB"/>
        </w:rPr>
        <w:t>Describe relevant features of current performance in relation to those expectations.</w:t>
      </w:r>
    </w:p>
    <w:p w14:paraId="328D5C97" w14:textId="77777777" w:rsidR="00A64D8B" w:rsidRDefault="00000000">
      <w:pPr>
        <w:pStyle w:val="CompactNumbered"/>
        <w:keepLines/>
        <w:numPr>
          <w:ilvl w:val="0"/>
          <w:numId w:val="1"/>
        </w:numPr>
      </w:pPr>
      <w:r>
        <w:rPr>
          <w:rFonts w:eastAsia="Times New Roman" w:cs="Times New Roman"/>
          <w:b/>
          <w:szCs w:val="24"/>
          <w:lang w:val="en-GB" w:eastAsia="en-GB" w:bidi="en-GB"/>
        </w:rPr>
        <w:t xml:space="preserve">Feed forward: </w:t>
      </w:r>
      <w:r>
        <w:rPr>
          <w:rFonts w:eastAsia="Times New Roman" w:cs="Times New Roman"/>
          <w:szCs w:val="24"/>
          <w:lang w:val="en-GB" w:eastAsia="en-GB" w:bidi="en-GB"/>
        </w:rPr>
        <w:t>Identify a manageable strategy, question or practice task for improvement.</w:t>
      </w:r>
    </w:p>
    <w:p w14:paraId="7425D89B" w14:textId="77777777" w:rsidR="00A64D8B" w:rsidRDefault="00000000">
      <w:pPr>
        <w:pStyle w:val="CompactNumbered"/>
        <w:keepLines/>
        <w:numPr>
          <w:ilvl w:val="0"/>
          <w:numId w:val="1"/>
        </w:numPr>
      </w:pPr>
      <w:r>
        <w:rPr>
          <w:rFonts w:eastAsia="Times New Roman" w:cs="Times New Roman"/>
          <w:b/>
          <w:szCs w:val="24"/>
          <w:lang w:val="en-GB" w:eastAsia="en-GB" w:bidi="en-GB"/>
        </w:rPr>
        <w:t xml:space="preserve">Learner interpretation: </w:t>
      </w:r>
      <w:r>
        <w:rPr>
          <w:rFonts w:eastAsia="Times New Roman" w:cs="Times New Roman"/>
          <w:szCs w:val="24"/>
          <w:lang w:val="en-GB" w:eastAsia="en-GB" w:bidi="en-GB"/>
        </w:rPr>
        <w:t>Invite the learner to explain the message, priorities and intended response.</w:t>
      </w:r>
    </w:p>
    <w:p w14:paraId="6AF3A4A6" w14:textId="77777777" w:rsidR="00A64D8B" w:rsidRDefault="00000000">
      <w:pPr>
        <w:pStyle w:val="CompactNumbered"/>
        <w:keepLines/>
        <w:numPr>
          <w:ilvl w:val="0"/>
          <w:numId w:val="1"/>
        </w:numPr>
      </w:pPr>
      <w:r>
        <w:rPr>
          <w:rFonts w:eastAsia="Times New Roman" w:cs="Times New Roman"/>
          <w:b/>
          <w:szCs w:val="24"/>
          <w:lang w:val="en-GB" w:eastAsia="en-GB" w:bidi="en-GB"/>
        </w:rPr>
        <w:t xml:space="preserve">Follow-through: </w:t>
      </w:r>
      <w:r>
        <w:rPr>
          <w:rFonts w:eastAsia="Times New Roman" w:cs="Times New Roman"/>
          <w:szCs w:val="24"/>
          <w:lang w:val="en-GB" w:eastAsia="en-GB" w:bidi="en-GB"/>
        </w:rPr>
        <w:t>Provide time to apply the advice and examine the resulting evidence.</w:t>
      </w:r>
    </w:p>
    <w:p w14:paraId="20005530" w14:textId="77777777" w:rsidR="00A64D8B" w:rsidRDefault="00000000">
      <w:pPr>
        <w:pStyle w:val="Heading2"/>
      </w:pPr>
      <w:r>
        <w:rPr>
          <w:rFonts w:ascii="Times New Roman" w:eastAsia="Times New Roman" w:hAnsi="Times New Roman" w:cs="Times New Roman"/>
          <w:szCs w:val="32"/>
          <w:lang w:val="en-GB" w:eastAsia="en-GB" w:bidi="en-GB"/>
        </w:rPr>
        <w:t>Examples in Practice</w:t>
      </w:r>
    </w:p>
    <w:p w14:paraId="47D0E708" w14:textId="77777777" w:rsidR="00A64D8B" w:rsidRDefault="00000000">
      <w:r>
        <w:rPr>
          <w:rFonts w:eastAsia="Times New Roman" w:cs="Times New Roman"/>
          <w:szCs w:val="24"/>
          <w:lang w:val="en-GB" w:eastAsia="en-GB" w:bidi="en-GB"/>
        </w:rPr>
        <w:t>Before a case analysis, a lecturer examines an exemplar and criteria with students. Draft feedback identifies an unsupported causal claim; feed forward asks the student to compare two explanations and revise the paragraph before submission.</w:t>
      </w:r>
    </w:p>
    <w:p w14:paraId="343BFA85" w14:textId="77777777" w:rsidR="00A64D8B" w:rsidRDefault="00000000">
      <w:pPr>
        <w:pStyle w:val="Heading2"/>
      </w:pPr>
      <w:r>
        <w:rPr>
          <w:rFonts w:ascii="Times New Roman" w:eastAsia="Times New Roman" w:hAnsi="Times New Roman" w:cs="Times New Roman"/>
          <w:szCs w:val="32"/>
          <w:lang w:val="en-GB" w:eastAsia="en-GB" w:bidi="en-GB"/>
        </w:rPr>
        <w:t>Why It Matters</w:t>
      </w:r>
    </w:p>
    <w:p w14:paraId="7C068745" w14:textId="77777777" w:rsidR="00A64D8B" w:rsidRDefault="00000000">
      <w:r>
        <w:rPr>
          <w:rFonts w:eastAsia="Times New Roman" w:cs="Times New Roman"/>
          <w:szCs w:val="24"/>
          <w:lang w:val="en-GB" w:eastAsia="en-GB" w:bidi="en-GB"/>
        </w:rPr>
        <w:t xml:space="preserve">The framework makes feedback prospective: it helps learners understand not only what occurred but how to progress. Its effectiveness depends on alignment across goals, assessment evidence and instruction, rather than mechanically adding three labels to existing comments. The cycle may repeat as evidence changes the learner’s understanding of the goal itself </w:t>
      </w:r>
      <w:hyperlink r:id="rId14" w:history="1">
        <w:r>
          <w:rPr>
            <w:rFonts w:eastAsia="Times New Roman" w:cs="Times New Roman"/>
            <w:color w:val="0557A8"/>
            <w:szCs w:val="24"/>
            <w:u w:val="single"/>
            <w:lang w:val="en-GB" w:eastAsia="en-GB" w:bidi="en-GB"/>
          </w:rPr>
          <w:t>(Fisher &amp; Frey, 2009)</w:t>
        </w:r>
      </w:hyperlink>
      <w:r>
        <w:rPr>
          <w:rFonts w:eastAsia="Times New Roman" w:cs="Times New Roman"/>
          <w:szCs w:val="24"/>
          <w:lang w:val="en-GB" w:eastAsia="en-GB" w:bidi="en-GB"/>
        </w:rPr>
        <w:t>.</w:t>
      </w:r>
    </w:p>
    <w:p w14:paraId="218062CC" w14:textId="77777777" w:rsidR="00A64D8B" w:rsidRDefault="00000000">
      <w:pPr>
        <w:pStyle w:val="Heading2"/>
      </w:pPr>
      <w:r>
        <w:rPr>
          <w:rFonts w:ascii="Times New Roman" w:eastAsia="Times New Roman" w:hAnsi="Times New Roman" w:cs="Times New Roman"/>
          <w:szCs w:val="32"/>
          <w:lang w:val="en-GB" w:eastAsia="en-GB" w:bidi="en-GB"/>
        </w:rPr>
        <w:t>Further Reading</w:t>
      </w:r>
    </w:p>
    <w:p w14:paraId="555AE1D5" w14:textId="77777777" w:rsidR="00A64D8B" w:rsidRDefault="00000000">
      <w:pPr>
        <w:pStyle w:val="References"/>
        <w:keepLines/>
        <w:numPr>
          <w:ilvl w:val="0"/>
          <w:numId w:val="1"/>
        </w:numPr>
      </w:pPr>
      <w:r>
        <w:rPr>
          <w:rFonts w:eastAsia="Times New Roman" w:cs="Times New Roman"/>
          <w:sz w:val="22"/>
          <w:lang w:val="en-GB" w:eastAsia="en-GB" w:bidi="en-GB"/>
        </w:rPr>
        <w:t xml:space="preserve">Hattie, J., &amp; Timperley, H. (2007). </w:t>
      </w:r>
      <w:hyperlink r:id="rId15" w:history="1">
        <w:r>
          <w:rPr>
            <w:rFonts w:eastAsia="Times New Roman" w:cs="Times New Roman"/>
            <w:color w:val="0557A8"/>
            <w:sz w:val="22"/>
            <w:u w:val="single"/>
            <w:lang w:val="en-GB" w:eastAsia="en-GB" w:bidi="en-GB"/>
          </w:rPr>
          <w:t>The power of feedback</w:t>
        </w:r>
      </w:hyperlink>
      <w:r>
        <w:rPr>
          <w:rFonts w:eastAsia="Times New Roman" w:cs="Times New Roman"/>
          <w:sz w:val="22"/>
          <w:lang w:val="en-GB" w:eastAsia="en-GB" w:bidi="en-GB"/>
        </w:rPr>
        <w:t>. Review of Educational Research, 77(1), 81–112.</w:t>
      </w:r>
    </w:p>
    <w:p w14:paraId="1A968B49" w14:textId="77777777" w:rsidR="00A64D8B" w:rsidRDefault="00000000">
      <w:pPr>
        <w:pStyle w:val="References"/>
        <w:keepLines/>
        <w:numPr>
          <w:ilvl w:val="0"/>
          <w:numId w:val="1"/>
        </w:numPr>
      </w:pPr>
      <w:r>
        <w:rPr>
          <w:rFonts w:eastAsia="Times New Roman" w:cs="Times New Roman"/>
          <w:sz w:val="22"/>
          <w:lang w:val="en-GB" w:eastAsia="en-GB" w:bidi="en-GB"/>
        </w:rPr>
        <w:t xml:space="preserve">Fisher, D., &amp; Frey, N. (2009). </w:t>
      </w:r>
      <w:hyperlink r:id="rId16" w:history="1">
        <w:r>
          <w:rPr>
            <w:rFonts w:eastAsia="Times New Roman" w:cs="Times New Roman"/>
            <w:color w:val="0557A8"/>
            <w:sz w:val="22"/>
            <w:u w:val="single"/>
            <w:lang w:val="en-GB" w:eastAsia="en-GB" w:bidi="en-GB"/>
          </w:rPr>
          <w:t>Feed up, back, forward</w:t>
        </w:r>
      </w:hyperlink>
      <w:r>
        <w:rPr>
          <w:rFonts w:eastAsia="Times New Roman" w:cs="Times New Roman"/>
          <w:sz w:val="22"/>
          <w:lang w:val="en-GB" w:eastAsia="en-GB" w:bidi="en-GB"/>
        </w:rPr>
        <w:t>. Educational Leadership, 67(3), 20–25.</w:t>
      </w:r>
    </w:p>
    <w:p w14:paraId="1C6A405F" w14:textId="77777777" w:rsidR="00A64D8B" w:rsidRDefault="00000000">
      <w:pPr>
        <w:pStyle w:val="References"/>
        <w:keepLines/>
        <w:numPr>
          <w:ilvl w:val="0"/>
          <w:numId w:val="1"/>
        </w:numPr>
      </w:pPr>
      <w:r>
        <w:rPr>
          <w:rFonts w:eastAsia="Times New Roman" w:cs="Times New Roman"/>
          <w:sz w:val="22"/>
          <w:lang w:val="en-GB" w:eastAsia="en-GB" w:bidi="en-GB"/>
        </w:rPr>
        <w:t xml:space="preserve">Shute, V. J. (2008). </w:t>
      </w:r>
      <w:hyperlink r:id="rId17" w:history="1">
        <w:r>
          <w:rPr>
            <w:rFonts w:eastAsia="Times New Roman" w:cs="Times New Roman"/>
            <w:color w:val="0557A8"/>
            <w:sz w:val="22"/>
            <w:u w:val="single"/>
            <w:lang w:val="en-GB" w:eastAsia="en-GB" w:bidi="en-GB"/>
          </w:rPr>
          <w:t>Focus on formative feedback</w:t>
        </w:r>
      </w:hyperlink>
      <w:r>
        <w:rPr>
          <w:rFonts w:eastAsia="Times New Roman" w:cs="Times New Roman"/>
          <w:sz w:val="22"/>
          <w:lang w:val="en-GB" w:eastAsia="en-GB" w:bidi="en-GB"/>
        </w:rPr>
        <w:t>. Review of Educational Research, 78(1), 153–189.</w:t>
      </w:r>
    </w:p>
    <w:p w14:paraId="33342F9D" w14:textId="77777777" w:rsidR="00A64D8B" w:rsidRDefault="00000000">
      <w:pPr>
        <w:pStyle w:val="RelatedTerms"/>
        <w:keepLines/>
      </w:pPr>
      <w:r>
        <w:rPr>
          <w:rFonts w:eastAsia="Times New Roman" w:cs="Times New Roman"/>
          <w:b/>
          <w:szCs w:val="24"/>
          <w:lang w:val="en-GB" w:eastAsia="en-GB" w:bidi="en-GB"/>
        </w:rPr>
        <w:t xml:space="preserve">Related Terms: </w:t>
      </w:r>
      <w:r>
        <w:rPr>
          <w:rFonts w:eastAsia="Times New Roman" w:cs="Times New Roman"/>
          <w:szCs w:val="24"/>
          <w:lang w:val="en-GB" w:eastAsia="en-GB" w:bidi="en-GB"/>
        </w:rPr>
        <w:t>Hattie and Timperley’s Feedback Model | Learning Intentions | Success Criteria | Feedback Uptake</w:t>
      </w:r>
    </w:p>
    <w:p w14:paraId="74136F3A" w14:textId="77777777" w:rsidR="00A64D8B" w:rsidRDefault="00000000">
      <w:pPr>
        <w:keepLines/>
        <w:pBdr>
          <w:top w:val="single" w:sz="6" w:space="5" w:color="D7DDD1"/>
        </w:pBdr>
        <w:spacing w:before="160" w:after="0"/>
        <w:jc w:val="center"/>
      </w:pPr>
      <w:hyperlink r:id="rId18" w:history="1">
        <w:r>
          <w:rPr>
            <w:color w:val="0557A8"/>
            <w:sz w:val="20"/>
            <w:szCs w:val="20"/>
            <w:u w:val="single"/>
            <w:lang w:val="en-GB" w:eastAsia="en-GB" w:bidi="en-GB"/>
          </w:rPr>
          <w:t>www.ka-consultants.com</w:t>
        </w:r>
      </w:hyperlink>
      <w:r>
        <w:rPr>
          <w:rFonts w:eastAsia="Times New Roman"/>
          <w:color w:val="58625A"/>
          <w:sz w:val="20"/>
          <w:lang w:val="en-GB" w:eastAsia="en-GB" w:bidi="en-GB"/>
        </w:rPr>
        <w:t xml:space="preserve">  /  </w:t>
      </w:r>
      <w:hyperlink r:id="rId19" w:history="1">
        <w:r>
          <w:rPr>
            <w:color w:val="0557A8"/>
            <w:sz w:val="20"/>
            <w:szCs w:val="20"/>
            <w:u w:val="single"/>
            <w:lang w:val="en-GB" w:eastAsia="en-GB" w:bidi="en-GB"/>
          </w:rPr>
          <w:t>admin@ka-consultants.com</w:t>
        </w:r>
      </w:hyperlink>
    </w:p>
    <w:sectPr w:rsidR="00A64D8B" w:rsidSect="00034616">
      <w:headerReference w:type="default" r:id="rId20"/>
      <w:footerReference w:type="default" r:id="rId21"/>
      <w:pgSz w:w="11906" w:h="16838"/>
      <w:pgMar w:top="794" w:right="907" w:bottom="794" w:left="907" w:header="283"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F9BAF5D" w14:textId="77777777" w:rsidR="007F36DF" w:rsidRDefault="007F36DF">
      <w:pPr>
        <w:spacing w:after="0" w:line="240" w:lineRule="auto"/>
      </w:pPr>
      <w:r>
        <w:separator/>
      </w:r>
    </w:p>
  </w:endnote>
  <w:endnote w:type="continuationSeparator" w:id="0">
    <w:p w14:paraId="2BC7211C" w14:textId="77777777" w:rsidR="007F36DF" w:rsidRDefault="007F3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DE599C" w14:textId="77777777" w:rsidR="00A64D8B" w:rsidRDefault="00A64D8B">
    <w:pPr>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7D5F830" w14:textId="77777777" w:rsidR="007F36DF" w:rsidRDefault="007F36DF">
      <w:pPr>
        <w:spacing w:after="0" w:line="240" w:lineRule="auto"/>
      </w:pPr>
      <w:r>
        <w:separator/>
      </w:r>
    </w:p>
  </w:footnote>
  <w:footnote w:type="continuationSeparator" w:id="0">
    <w:p w14:paraId="439D3B02" w14:textId="77777777" w:rsidR="007F36DF" w:rsidRDefault="007F36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59CE2F" w14:textId="77777777" w:rsidR="00A64D8B" w:rsidRDefault="00A64D8B">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DAB25B1"/>
    <w:multiLevelType w:val="singleLevel"/>
    <w:tmpl w:val="478E6E44"/>
    <w:lvl w:ilvl="0">
      <w:start w:val="1"/>
      <w:numFmt w:val="decimal"/>
      <w:lvlText w:val="%1."/>
      <w:lvlJc w:val="left"/>
      <w:pPr>
        <w:tabs>
          <w:tab w:val="num" w:pos="540"/>
        </w:tabs>
        <w:ind w:left="540" w:hanging="270"/>
      </w:pPr>
      <w:rPr>
        <w:rFonts w:ascii="Times New Roman" w:hAnsi="Times New Roman"/>
        <w:sz w:val="24"/>
      </w:rPr>
    </w:lvl>
  </w:abstractNum>
  <w:abstractNum w:abstractNumId="10" w15:restartNumberingAfterBreak="0">
    <w:nsid w:val="75FC28C6"/>
    <w:multiLevelType w:val="singleLevel"/>
    <w:tmpl w:val="F404C87A"/>
    <w:lvl w:ilvl="0">
      <w:start w:val="1"/>
      <w:numFmt w:val="decimal"/>
      <w:pStyle w:val="ListBullet"/>
      <w:lvlText w:val="%1."/>
      <w:lvlJc w:val="left"/>
      <w:pPr>
        <w:tabs>
          <w:tab w:val="num" w:pos="540"/>
        </w:tabs>
        <w:ind w:left="540" w:hanging="270"/>
      </w:pPr>
      <w:rPr>
        <w:rFonts w:ascii="Times New Roman" w:hAnsi="Times New Roman"/>
        <w:sz w:val="24"/>
      </w:rPr>
    </w:lvl>
  </w:abstractNum>
  <w:num w:numId="1" w16cid:durableId="4215783">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07136"/>
    <w:rsid w:val="0015074B"/>
    <w:rsid w:val="0029639D"/>
    <w:rsid w:val="002A15ED"/>
    <w:rsid w:val="00326F90"/>
    <w:rsid w:val="007F36DF"/>
    <w:rsid w:val="009647C1"/>
    <w:rsid w:val="00A64D8B"/>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BD449A"/>
  <w14:defaultImageDpi w14:val="300"/>
  <w15:docId w15:val="{1943C06A-5230-FA4D-A5DA-EB90C438D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4" w:lineRule="auto"/>
    </w:pPr>
    <w:rPr>
      <w:rFonts w:ascii="Times New Roman" w:hAnsi="Times New Roman"/>
      <w:color w:val="000000"/>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b/>
      <w:bCs/>
      <w:sz w:val="3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360"/>
      </w:tabs>
      <w:contextualSpacing/>
    </w:pPr>
  </w:style>
  <w:style w:type="paragraph" w:styleId="ListBullet3">
    <w:name w:val="List Bullet 3"/>
    <w:basedOn w:val="Normal"/>
    <w:uiPriority w:val="99"/>
    <w:unhideWhenUsed/>
    <w:rsid w:val="00326F90"/>
    <w:pPr>
      <w:tabs>
        <w:tab w:val="num" w:pos="360"/>
      </w:tabs>
      <w:contextualSpacing/>
    </w:pPr>
  </w:style>
  <w:style w:type="paragraph" w:styleId="ListNumber">
    <w:name w:val="List Number"/>
    <w:basedOn w:val="Normal"/>
    <w:uiPriority w:val="99"/>
    <w:unhideWhenUsed/>
    <w:rsid w:val="00326F90"/>
    <w:pPr>
      <w:tabs>
        <w:tab w:val="num" w:pos="360"/>
      </w:tabs>
      <w:contextualSpacing/>
    </w:pPr>
  </w:style>
  <w:style w:type="paragraph" w:styleId="ListNumber2">
    <w:name w:val="List Number 2"/>
    <w:basedOn w:val="Normal"/>
    <w:uiPriority w:val="99"/>
    <w:unhideWhenUsed/>
    <w:rsid w:val="0029639D"/>
    <w:pPr>
      <w:tabs>
        <w:tab w:val="num" w:pos="360"/>
      </w:tabs>
      <w:contextualSpacing/>
    </w:pPr>
  </w:style>
  <w:style w:type="paragraph" w:styleId="ListNumber3">
    <w:name w:val="List Number 3"/>
    <w:basedOn w:val="Normal"/>
    <w:uiPriority w:val="99"/>
    <w:unhideWhenUsed/>
    <w:rsid w:val="0029639D"/>
    <w:pPr>
      <w:tabs>
        <w:tab w:val="num" w:pos="360"/>
      </w:tabs>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nowledgeHubTitle">
    <w:name w:val="Knowledge Hub Title"/>
    <w:basedOn w:val="Normal"/>
    <w:pPr>
      <w:keepNext/>
      <w:keepLines/>
      <w:spacing w:after="120" w:line="250" w:lineRule="auto"/>
    </w:pPr>
    <w:rPr>
      <w:b/>
      <w:sz w:val="48"/>
    </w:rPr>
  </w:style>
  <w:style w:type="paragraph" w:customStyle="1" w:styleId="Category">
    <w:name w:val="Category"/>
    <w:basedOn w:val="Normal"/>
    <w:pPr>
      <w:spacing w:line="250" w:lineRule="auto"/>
    </w:pPr>
    <w:rPr>
      <w:b/>
    </w:rPr>
  </w:style>
  <w:style w:type="paragraph" w:customStyle="1" w:styleId="CompactNumbered">
    <w:name w:val="Compact Numbered"/>
    <w:basedOn w:val="Normal"/>
    <w:pPr>
      <w:spacing w:after="20" w:line="240" w:lineRule="auto"/>
    </w:pPr>
  </w:style>
  <w:style w:type="paragraph" w:customStyle="1" w:styleId="References">
    <w:name w:val="References"/>
    <w:basedOn w:val="Normal"/>
    <w:pPr>
      <w:spacing w:after="20" w:line="240" w:lineRule="auto"/>
    </w:pPr>
  </w:style>
  <w:style w:type="paragraph" w:customStyle="1" w:styleId="RelatedTerms">
    <w:name w:val="Related Terms"/>
    <w:basedOn w:val="Normal"/>
    <w:pPr>
      <w:spacing w:before="100" w:after="0" w:line="25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consultants.com/resources-1" TargetMode="External"/><Relationship Id="rId13" Type="http://schemas.openxmlformats.org/officeDocument/2006/relationships/hyperlink" Target="https://doi.org/10.3102/003465430298487" TargetMode="External"/><Relationship Id="rId18" Type="http://schemas.openxmlformats.org/officeDocument/2006/relationships/hyperlink" Target="https://www.ka-consultants.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doi.org/10.3102/0034654307313795" TargetMode="External"/><Relationship Id="rId2" Type="http://schemas.openxmlformats.org/officeDocument/2006/relationships/numbering" Target="numbering.xml"/><Relationship Id="rId16" Type="http://schemas.openxmlformats.org/officeDocument/2006/relationships/hyperlink" Target="https://www.ascd.org/el/articles/feed-up-back-forward"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a-consultants.com/" TargetMode="External"/><Relationship Id="rId5" Type="http://schemas.openxmlformats.org/officeDocument/2006/relationships/webSettings" Target="webSettings.xml"/><Relationship Id="rId15" Type="http://schemas.openxmlformats.org/officeDocument/2006/relationships/hyperlink" Target="https://doi.org/10.3102/003465430298487" TargetMode="External"/><Relationship Id="rId23" Type="http://schemas.openxmlformats.org/officeDocument/2006/relationships/theme" Target="theme/theme1.xml"/><Relationship Id="rId10" Type="http://schemas.openxmlformats.org/officeDocument/2006/relationships/hyperlink" Target="https://www.ka-consultants.com/resources-1" TargetMode="External"/><Relationship Id="rId19" Type="http://schemas.openxmlformats.org/officeDocument/2006/relationships/hyperlink" Target="mailto:admin@ka-consultants.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ascd.org/el/articles/feed-up-back-forward"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434</Words>
  <Characters>2478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Feed Up, Feedback and Feed Forward | Keystone Knowledge Hub</dc:title>
  <dc:subject>A concise introduction to Feed Up, Feedback and Feed Forward</dc:subject>
  <dc:creator>Keystone Academic Consultants Ltd.</dc:creator>
  <cp:keywords>Feed Up, Feedback and Feed Forward, Assessment, Feedback and Learning, education, higher education, teaching and learning</cp:keywords>
  <dc:description>generated by python-docx</dc:description>
  <cp:lastModifiedBy>Sidra Bhatti</cp:lastModifiedBy>
  <cp:revision>2</cp:revision>
  <dcterms:created xsi:type="dcterms:W3CDTF">2026-08-11T13:03:00Z</dcterms:created>
  <dcterms:modified xsi:type="dcterms:W3CDTF">2026-08-11T13:03:00Z</dcterms:modified>
  <cp:category/>
</cp:coreProperties>
</file>